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96" w:rsidRDefault="00577D6F" w:rsidP="00FF312B">
      <w:pPr>
        <w:jc w:val="center"/>
      </w:pPr>
      <w:bookmarkStart w:id="0" w:name="_GoBack"/>
      <w:bookmarkEnd w:id="0"/>
      <w:r>
        <w:t>Contribution</w:t>
      </w:r>
      <w:r w:rsidR="00C93FDE">
        <w:t xml:space="preserve"> </w:t>
      </w:r>
      <w:r w:rsidR="00FF1B26">
        <w:t>opérationnel</w:t>
      </w:r>
      <w:r>
        <w:t>le</w:t>
      </w:r>
      <w:r w:rsidR="00FF1B26">
        <w:t xml:space="preserve"> </w:t>
      </w:r>
      <w:r w:rsidR="00C93FDE">
        <w:t>de développement de la FTLV dans l’enseignement supérieur</w:t>
      </w:r>
      <w:r w:rsidR="00E336FA">
        <w:t xml:space="preserve"> au service de l’emploi</w:t>
      </w:r>
    </w:p>
    <w:p w:rsidR="00C93FDE" w:rsidRDefault="00C93FDE" w:rsidP="00F60D6D">
      <w:pPr>
        <w:jc w:val="center"/>
      </w:pPr>
      <w:r>
        <w:t>Gilles Schildknecht-</w:t>
      </w:r>
      <w:r w:rsidR="00C90434">
        <w:t xml:space="preserve"> </w:t>
      </w:r>
      <w:r w:rsidR="00F60D6D">
        <w:t>Mai 2016</w:t>
      </w:r>
    </w:p>
    <w:p w:rsidR="00F60D6D" w:rsidRDefault="00F60D6D" w:rsidP="00F60D6D">
      <w:pPr>
        <w:jc w:val="center"/>
      </w:pPr>
      <w:r>
        <w:t>Chercheur associé Centre de Recherche sur la Formation (CRF) du CNAM</w:t>
      </w:r>
    </w:p>
    <w:p w:rsidR="00F60D6D" w:rsidRDefault="00F60D6D" w:rsidP="00F60D6D">
      <w:pPr>
        <w:jc w:val="center"/>
      </w:pPr>
      <w:r>
        <w:t>Membre du bureau du CA du Comité Mondial pour les Apprentissages tout au long de la vie</w:t>
      </w:r>
      <w:r w:rsidR="00577D6F">
        <w:t xml:space="preserve"> (CMA)</w:t>
      </w:r>
    </w:p>
    <w:p w:rsidR="00577D6F" w:rsidRDefault="00577D6F" w:rsidP="00F60D6D">
      <w:pPr>
        <w:jc w:val="center"/>
      </w:pPr>
      <w:r>
        <w:t>Ancien membre du CA de la Conférence des Directeurs de Service Universitaire de Formation Continue (CDSUFC)</w:t>
      </w:r>
    </w:p>
    <w:p w:rsidR="00567EB9" w:rsidRDefault="00567EB9"/>
    <w:p w:rsidR="00C93FDE" w:rsidRDefault="007646E3" w:rsidP="00567EB9">
      <w:pPr>
        <w:jc w:val="both"/>
      </w:pPr>
      <w:r>
        <w:t>L</w:t>
      </w:r>
      <w:r w:rsidR="00C93FDE">
        <w:t>es universités et les écoles doivent absolument relever le défi de la formation tout au long de la vie au service de l’emploi et de la lutte contre le chômage.</w:t>
      </w:r>
    </w:p>
    <w:p w:rsidR="007646E3" w:rsidRDefault="007646E3" w:rsidP="00567EB9">
      <w:pPr>
        <w:jc w:val="both"/>
      </w:pPr>
      <w:r>
        <w:t xml:space="preserve">Ensemble, </w:t>
      </w:r>
      <w:r w:rsidR="007951D5">
        <w:t>elles</w:t>
      </w:r>
      <w:r>
        <w:t xml:space="preserve"> ne représentent aujourd’hui que moins de 2% de l’activité nationale de formation continue.</w:t>
      </w:r>
    </w:p>
    <w:p w:rsidR="007646E3" w:rsidRDefault="007646E3" w:rsidP="00567EB9">
      <w:pPr>
        <w:jc w:val="both"/>
      </w:pPr>
      <w:r>
        <w:t>Développer la FTLV dans les établissements d’enseignement supérieur c’est apporter des ressource</w:t>
      </w:r>
      <w:r w:rsidR="000252A6">
        <w:t>s</w:t>
      </w:r>
      <w:r>
        <w:t xml:space="preserve"> complémentaires et aussi faire émerger des innovations pédagogiques. C’est également répondre aux défis économiques en s’appuyant sur la stratégie de Lisbonne qui lie, dans une économie de la connaissance</w:t>
      </w:r>
      <w:r w:rsidR="00EF4558">
        <w:t>,</w:t>
      </w:r>
      <w:r>
        <w:t xml:space="preserve"> orientée innovation, croissance de l’emploi et développement de l’enseignement supérieur.</w:t>
      </w:r>
    </w:p>
    <w:p w:rsidR="005919E5" w:rsidRDefault="007646E3" w:rsidP="00567EB9">
      <w:pPr>
        <w:jc w:val="both"/>
      </w:pPr>
      <w:r>
        <w:t>Pour répondre à ces enjeux, u</w:t>
      </w:r>
      <w:r w:rsidR="005919E5">
        <w:t>n plan national de mobilisation des acteurs est nécessaire.</w:t>
      </w:r>
      <w:r w:rsidR="00FF1B26">
        <w:t xml:space="preserve"> Complémentaire des conclusions du rapport Germinet, i</w:t>
      </w:r>
      <w:r w:rsidR="005919E5">
        <w:t>l devra proposer, à partir d’un état des lieux objectif des réalités, freins, contraintes et leviers à actionner, des mesures</w:t>
      </w:r>
      <w:r w:rsidR="00567EB9">
        <w:t>,</w:t>
      </w:r>
      <w:r w:rsidR="005919E5">
        <w:t xml:space="preserve"> notamme</w:t>
      </w:r>
      <w:r w:rsidR="00567EB9">
        <w:t>nt</w:t>
      </w:r>
      <w:r w:rsidR="005919E5">
        <w:t xml:space="preserve"> d’ordre de la gouvernance de la FTLV, de son organisation dans les établissements, de ses financements, moyens et pilotage.</w:t>
      </w:r>
    </w:p>
    <w:p w:rsidR="005919E5" w:rsidRDefault="005919E5" w:rsidP="00567EB9">
      <w:pPr>
        <w:jc w:val="both"/>
      </w:pPr>
    </w:p>
    <w:p w:rsidR="005919E5" w:rsidRPr="00567EB9" w:rsidRDefault="005919E5" w:rsidP="00567EB9">
      <w:pPr>
        <w:ind w:firstLine="708"/>
        <w:jc w:val="both"/>
        <w:rPr>
          <w:b/>
        </w:rPr>
      </w:pPr>
      <w:r>
        <w:t xml:space="preserve">1 – </w:t>
      </w:r>
      <w:r w:rsidRPr="00567EB9">
        <w:rPr>
          <w:b/>
        </w:rPr>
        <w:t>L’état des lieux</w:t>
      </w:r>
    </w:p>
    <w:p w:rsidR="005919E5" w:rsidRDefault="005919E5" w:rsidP="00567EB9">
      <w:pPr>
        <w:jc w:val="both"/>
      </w:pPr>
      <w:r>
        <w:t>Historiquement les établissements d’enseignem</w:t>
      </w:r>
      <w:r w:rsidR="009D4E17">
        <w:t>e</w:t>
      </w:r>
      <w:r w:rsidR="00567EB9">
        <w:t>nt supérieur</w:t>
      </w:r>
      <w:r>
        <w:t xml:space="preserve"> sont orientés vers la formation initiale. Leur culture est avant tout celle de l’exc</w:t>
      </w:r>
      <w:r w:rsidR="009D4E17">
        <w:t>e</w:t>
      </w:r>
      <w:r>
        <w:t>llence en matière de formation et s’adresse avant tout à des publics « jeunes ».</w:t>
      </w:r>
    </w:p>
    <w:p w:rsidR="005919E5" w:rsidRDefault="005919E5" w:rsidP="00567EB9">
      <w:pPr>
        <w:jc w:val="both"/>
      </w:pPr>
      <w:r>
        <w:t>La loi de 1971 à introduit la formation continue dans nos établissem</w:t>
      </w:r>
      <w:r w:rsidR="009D4E17">
        <w:t>e</w:t>
      </w:r>
      <w:r>
        <w:t xml:space="preserve">nts, </w:t>
      </w:r>
      <w:r w:rsidR="009D4E17">
        <w:t>hor</w:t>
      </w:r>
      <w:r>
        <w:t>mis le Cnam, qui auparav</w:t>
      </w:r>
      <w:r w:rsidR="009D4E17">
        <w:t>a</w:t>
      </w:r>
      <w:r>
        <w:t>nt éta</w:t>
      </w:r>
      <w:r w:rsidR="009D4E17">
        <w:t>it</w:t>
      </w:r>
      <w:r>
        <w:t xml:space="preserve"> seul sur le créne</w:t>
      </w:r>
      <w:r w:rsidR="009D4E17">
        <w:t>au</w:t>
      </w:r>
      <w:r>
        <w:t xml:space="preserve"> de la promotion supérieur du travail pour des adultes engagés dans la vie active.</w:t>
      </w:r>
    </w:p>
    <w:p w:rsidR="005919E5" w:rsidRDefault="005919E5" w:rsidP="00567EB9">
      <w:pPr>
        <w:jc w:val="both"/>
      </w:pPr>
      <w:r>
        <w:t>Les établissem</w:t>
      </w:r>
      <w:r w:rsidR="009D4E17">
        <w:t>e</w:t>
      </w:r>
      <w:r>
        <w:t>nts considèrent encore la FC comme un plus à leur offre de formations et une source supplémentaire de ressources.</w:t>
      </w:r>
    </w:p>
    <w:p w:rsidR="00C855C6" w:rsidRDefault="005919E5" w:rsidP="00567EB9">
      <w:pPr>
        <w:jc w:val="both"/>
      </w:pPr>
      <w:r>
        <w:t xml:space="preserve">La loi ESR de juillet 2013, par la reconnaissance de la formation tout au long de la vie, </w:t>
      </w:r>
      <w:r w:rsidR="00C855C6">
        <w:t>institu</w:t>
      </w:r>
      <w:r w:rsidR="009D4E17">
        <w:t>t</w:t>
      </w:r>
      <w:r w:rsidR="00C855C6">
        <w:t>ionnal</w:t>
      </w:r>
      <w:r w:rsidR="00567EB9">
        <w:t>ise le lien entre FI et FC, ce</w:t>
      </w:r>
      <w:r w:rsidR="00C855C6">
        <w:t>ci dans une logique de parcours personnels tout au long de la vie. Cela entr</w:t>
      </w:r>
      <w:r w:rsidR="009D4E17">
        <w:t>a</w:t>
      </w:r>
      <w:r w:rsidR="00C855C6">
        <w:t>îne un positionnem</w:t>
      </w:r>
      <w:r w:rsidR="009D4E17">
        <w:t>e</w:t>
      </w:r>
      <w:r w:rsidR="00C855C6">
        <w:t xml:space="preserve">nt nouveau de l’enseignement supérieur et un rapprochement </w:t>
      </w:r>
      <w:r w:rsidR="00C855C6">
        <w:lastRenderedPageBreak/>
        <w:t xml:space="preserve">nécessaire </w:t>
      </w:r>
      <w:r w:rsidR="00567EB9">
        <w:t>avec les besoins de</w:t>
      </w:r>
      <w:r w:rsidR="00C855C6">
        <w:t xml:space="preserve"> qualification </w:t>
      </w:r>
      <w:r w:rsidR="007951D5">
        <w:t>utiles</w:t>
      </w:r>
      <w:r w:rsidR="00C855C6">
        <w:t xml:space="preserve"> à notre économie et à la sécur</w:t>
      </w:r>
      <w:r w:rsidR="009D4E17">
        <w:t>is</w:t>
      </w:r>
      <w:r w:rsidR="00C855C6">
        <w:t>ation des parcours des individus.</w:t>
      </w:r>
    </w:p>
    <w:p w:rsidR="00CD7CF8" w:rsidRDefault="00CD7CF8" w:rsidP="00567EB9">
      <w:pPr>
        <w:jc w:val="both"/>
      </w:pPr>
      <w:r>
        <w:t>La loi de Mars 2014 relative à la formation professionnelle, à l’emploi et à la démocratie sociale, simplifie la gouvernance nationale et régionale de la formation professionnelle en confiant un rôle de pilote et de coordination aux Conseils Régionaux.</w:t>
      </w:r>
    </w:p>
    <w:p w:rsidR="00C855C6" w:rsidRDefault="00C855C6" w:rsidP="00567EB9">
      <w:pPr>
        <w:jc w:val="both"/>
      </w:pPr>
      <w:r>
        <w:t>L’état d</w:t>
      </w:r>
      <w:r w:rsidR="00567EB9">
        <w:t>es lieux à mener est à différenc</w:t>
      </w:r>
      <w:r>
        <w:t>ier suivant le type d’établissem</w:t>
      </w:r>
      <w:r w:rsidR="009D4E17">
        <w:t>e</w:t>
      </w:r>
      <w:r>
        <w:t>nts : universités, IUT, écoles d’ingénieurs, Cnam, autre</w:t>
      </w:r>
      <w:r w:rsidR="00567EB9">
        <w:t>s</w:t>
      </w:r>
      <w:r>
        <w:t xml:space="preserve"> écoles.</w:t>
      </w:r>
    </w:p>
    <w:p w:rsidR="00C855C6" w:rsidRDefault="009D4E17" w:rsidP="00567EB9">
      <w:pPr>
        <w:jc w:val="both"/>
      </w:pPr>
      <w:r>
        <w:t xml:space="preserve"> </w:t>
      </w:r>
      <w:r w:rsidR="00C855C6">
        <w:t xml:space="preserve">Il comprendra </w:t>
      </w:r>
      <w:r>
        <w:t xml:space="preserve">notamment </w:t>
      </w:r>
      <w:r w:rsidR="00C855C6">
        <w:t>un état :</w:t>
      </w:r>
    </w:p>
    <w:p w:rsidR="00C855C6" w:rsidRDefault="00C855C6" w:rsidP="00567EB9">
      <w:pPr>
        <w:jc w:val="both"/>
      </w:pPr>
      <w:r>
        <w:t>-des partenariats réels donnant lieu à des résultats, nationaux, locaux, avec organismes, branches, entreprises</w:t>
      </w:r>
      <w:r w:rsidR="009D4E17">
        <w:t>,</w:t>
      </w:r>
      <w:r>
        <w:t xml:space="preserve"> </w:t>
      </w:r>
      <w:r w:rsidR="000C2C0C">
        <w:t>sur les aspects, offres, réponses à appels d’offres, financiers, utilisation d’intervenants ens</w:t>
      </w:r>
      <w:r w:rsidR="00567EB9">
        <w:t>eignants et professionnels ;</w:t>
      </w:r>
    </w:p>
    <w:p w:rsidR="009D4E17" w:rsidRDefault="009D4E17" w:rsidP="00567EB9">
      <w:pPr>
        <w:jc w:val="both"/>
      </w:pPr>
      <w:r>
        <w:t>-des coopérations entre établi</w:t>
      </w:r>
      <w:r w:rsidR="00567EB9">
        <w:t>ssements, avec le réseau des Gre</w:t>
      </w:r>
      <w:r>
        <w:t>ta, le Cnam, autres établis</w:t>
      </w:r>
      <w:r w:rsidR="00567EB9">
        <w:t>s</w:t>
      </w:r>
      <w:r>
        <w:t>em</w:t>
      </w:r>
      <w:r w:rsidR="00567EB9">
        <w:t>ents publics et privés ;</w:t>
      </w:r>
    </w:p>
    <w:p w:rsidR="00C855C6" w:rsidRDefault="00C855C6" w:rsidP="00567EB9">
      <w:pPr>
        <w:jc w:val="both"/>
      </w:pPr>
      <w:r>
        <w:t>-des organisations existant dans les établissem</w:t>
      </w:r>
      <w:r w:rsidR="009D4E17">
        <w:t>e</w:t>
      </w:r>
      <w:r w:rsidR="00567EB9">
        <w:t>nts, de leur</w:t>
      </w:r>
      <w:r>
        <w:t xml:space="preserve"> positionnem</w:t>
      </w:r>
      <w:r w:rsidR="009D4E17">
        <w:t>e</w:t>
      </w:r>
      <w:r>
        <w:t>nt dans les instances décis</w:t>
      </w:r>
      <w:r w:rsidR="009D4E17">
        <w:t>i</w:t>
      </w:r>
      <w:r w:rsidR="00567EB9">
        <w:t>onnelles ;</w:t>
      </w:r>
    </w:p>
    <w:p w:rsidR="00C855C6" w:rsidRDefault="00C855C6" w:rsidP="00567EB9">
      <w:pPr>
        <w:jc w:val="both"/>
      </w:pPr>
      <w:r>
        <w:t>-des textes spécifiques régissant l’activité, comme le décret de 1985 et les diff</w:t>
      </w:r>
      <w:r w:rsidR="009D4E17">
        <w:t>éren</w:t>
      </w:r>
      <w:r>
        <w:t xml:space="preserve">tes circulaires et notes ministérielles </w:t>
      </w:r>
      <w:r w:rsidRPr="002A22E8">
        <w:t>s’étant accumulées</w:t>
      </w:r>
      <w:r>
        <w:t xml:space="preserve"> dep</w:t>
      </w:r>
      <w:r w:rsidR="00567EB9">
        <w:t>uis plusieurs dizaines d’années ;</w:t>
      </w:r>
    </w:p>
    <w:p w:rsidR="00C855C6" w:rsidRDefault="009D4E17" w:rsidP="00567EB9">
      <w:pPr>
        <w:jc w:val="both"/>
      </w:pPr>
      <w:r>
        <w:t>-de l’implication des enseignants chercheurs dans les formations, leur statut, rémunérations, indemnités, place de c</w:t>
      </w:r>
      <w:r w:rsidR="00567EB9">
        <w:t>es activités dans leur carrière ;</w:t>
      </w:r>
    </w:p>
    <w:p w:rsidR="009D4E17" w:rsidRDefault="00567EB9" w:rsidP="00567EB9">
      <w:pPr>
        <w:jc w:val="both"/>
      </w:pPr>
      <w:r>
        <w:t>-de</w:t>
      </w:r>
      <w:r w:rsidR="009D4E17">
        <w:t xml:space="preserve"> la construction des certificat</w:t>
      </w:r>
      <w:r>
        <w:t>ions et leur place dans l’offre</w:t>
      </w:r>
      <w:r w:rsidR="009D4E17">
        <w:t xml:space="preserve"> des établissements : diplômes nationaux, titres enregistrés sur demande au RNCP, diplômes et certifications d’établissements, ainsi que les partenariats</w:t>
      </w:r>
      <w:r>
        <w:t xml:space="preserve"> en matière de co-certification ;</w:t>
      </w:r>
    </w:p>
    <w:p w:rsidR="009D4E17" w:rsidRDefault="009D4E17" w:rsidP="00567EB9">
      <w:pPr>
        <w:jc w:val="both"/>
      </w:pPr>
      <w:r>
        <w:t>-des pédagogies utilisées, car former un public d’adulte</w:t>
      </w:r>
      <w:r w:rsidR="000C2C0C">
        <w:t>s présente des spécificités et un rôle plus de formateur, d’accompagnateur que d’enseignant utilisant la pratique de cours magistrau</w:t>
      </w:r>
      <w:r w:rsidR="00567EB9">
        <w:t>x ;</w:t>
      </w:r>
    </w:p>
    <w:p w:rsidR="000C2C0C" w:rsidRDefault="000C2C0C" w:rsidP="00567EB9">
      <w:pPr>
        <w:jc w:val="both"/>
      </w:pPr>
      <w:r>
        <w:t>- de la place de</w:t>
      </w:r>
      <w:r w:rsidR="000252A6">
        <w:t>s</w:t>
      </w:r>
      <w:r>
        <w:t xml:space="preserve"> TICE dans les formations pour adultes, en lien avec les caractéristiques territoriales d’exercice de chaque établissement et/ou regroupement d’établissements.</w:t>
      </w:r>
    </w:p>
    <w:p w:rsidR="000C2C0C" w:rsidRDefault="000C2C0C" w:rsidP="00567EB9">
      <w:pPr>
        <w:jc w:val="both"/>
      </w:pPr>
      <w:r>
        <w:t>A partir de cet état des lieux, le plan national proposera des mesures générales et particulières touchant à l’ensemble, car celui-ci fait système, des aspects de cette activité, pas assez structurée encore aujourd’hui de manière claire, lisible et transparente pour l’intern</w:t>
      </w:r>
      <w:r w:rsidR="00FF312B">
        <w:t>e</w:t>
      </w:r>
      <w:r>
        <w:t xml:space="preserve"> et l’externe des établissements.</w:t>
      </w:r>
    </w:p>
    <w:p w:rsidR="00567EB9" w:rsidRDefault="00567EB9" w:rsidP="00567EB9">
      <w:pPr>
        <w:jc w:val="both"/>
      </w:pPr>
    </w:p>
    <w:p w:rsidR="000C2C0C" w:rsidRPr="00567EB9" w:rsidRDefault="00567EB9" w:rsidP="00567EB9">
      <w:pPr>
        <w:ind w:firstLine="708"/>
        <w:jc w:val="both"/>
        <w:rPr>
          <w:b/>
        </w:rPr>
      </w:pPr>
      <w:r>
        <w:t xml:space="preserve">2- </w:t>
      </w:r>
      <w:r w:rsidR="000C2C0C" w:rsidRPr="00567EB9">
        <w:rPr>
          <w:b/>
        </w:rPr>
        <w:t>Les mesures</w:t>
      </w:r>
    </w:p>
    <w:p w:rsidR="000C2C0C" w:rsidRDefault="00CC11B3" w:rsidP="00567EB9">
      <w:pPr>
        <w:jc w:val="both"/>
      </w:pPr>
      <w:r>
        <w:t>2-1 Les o</w:t>
      </w:r>
      <w:r w:rsidR="000C2C0C">
        <w:t>bjectifs</w:t>
      </w:r>
    </w:p>
    <w:p w:rsidR="000C2C0C" w:rsidRDefault="000C2C0C" w:rsidP="00567EB9">
      <w:pPr>
        <w:jc w:val="both"/>
      </w:pPr>
      <w:r>
        <w:t>Ils seront fixés nationalement</w:t>
      </w:r>
      <w:r w:rsidR="00E6308C">
        <w:t>, par Comue ayant inscrit dans leurs statuts le développement de la F</w:t>
      </w:r>
      <w:r w:rsidR="002C657E">
        <w:t>TLV</w:t>
      </w:r>
      <w:r>
        <w:t xml:space="preserve"> et</w:t>
      </w:r>
      <w:r w:rsidR="00E6308C">
        <w:t>/ou</w:t>
      </w:r>
      <w:r>
        <w:t xml:space="preserve"> par établissem</w:t>
      </w:r>
      <w:r w:rsidR="002A7008">
        <w:t>e</w:t>
      </w:r>
      <w:r>
        <w:t>nt</w:t>
      </w:r>
      <w:r w:rsidR="00EF4558">
        <w:t xml:space="preserve"> et</w:t>
      </w:r>
      <w:r>
        <w:t xml:space="preserve"> inclus dans les procédures de dialogue de gestion, en fonction des </w:t>
      </w:r>
      <w:r>
        <w:lastRenderedPageBreak/>
        <w:t>réalités budgétaires et des contraintes imposées par le code du travail et le code de l’éducation (qui devra évoluer).</w:t>
      </w:r>
    </w:p>
    <w:p w:rsidR="002A7008" w:rsidRDefault="002A7008" w:rsidP="00567EB9">
      <w:pPr>
        <w:jc w:val="both"/>
      </w:pPr>
      <w:r>
        <w:t>Des indicateurs quantitatifs et qualitatifs seront construits en partenariat avec les différent</w:t>
      </w:r>
      <w:r w:rsidR="00CC11B3">
        <w:t>e</w:t>
      </w:r>
      <w:r>
        <w:t>s conférences impliquées : CPU</w:t>
      </w:r>
      <w:r w:rsidR="00CC11B3">
        <w:t>, CDSUFC, La Courroie, directe</w:t>
      </w:r>
      <w:r>
        <w:t>urs d’IUT, CGE,…</w:t>
      </w:r>
    </w:p>
    <w:p w:rsidR="002A7008" w:rsidRDefault="002A7008" w:rsidP="00567EB9">
      <w:pPr>
        <w:jc w:val="both"/>
      </w:pPr>
      <w:r>
        <w:t xml:space="preserve">Ils pourront rendre compte du nombre </w:t>
      </w:r>
      <w:r w:rsidR="00CC11B3">
        <w:t>de stagiaires, de leur réussite</w:t>
      </w:r>
      <w:r>
        <w:t xml:space="preserve"> aux épreuves diplômantes et certifiantes, ainsi que des suites des parcours.</w:t>
      </w:r>
    </w:p>
    <w:p w:rsidR="002A7008" w:rsidRDefault="002A7008" w:rsidP="00567EB9">
      <w:pPr>
        <w:jc w:val="both"/>
      </w:pPr>
      <w:r>
        <w:t>2-2 La gouvernance</w:t>
      </w:r>
    </w:p>
    <w:p w:rsidR="002A7008" w:rsidRDefault="00CC11B3" w:rsidP="00567EB9">
      <w:pPr>
        <w:jc w:val="both"/>
      </w:pPr>
      <w:r>
        <w:t xml:space="preserve">Les instances, telle la CPU, devront intégrer </w:t>
      </w:r>
      <w:r w:rsidR="002A7008">
        <w:t>les nouvelles structures</w:t>
      </w:r>
      <w:r w:rsidR="007951D5">
        <w:t>, comme déjà fait au national au sein du CNEFOP, les structures</w:t>
      </w:r>
      <w:r w:rsidR="002A7008">
        <w:t xml:space="preserve"> régionales </w:t>
      </w:r>
      <w:r w:rsidR="007951D5">
        <w:t xml:space="preserve">telle les CREFOP, </w:t>
      </w:r>
      <w:r w:rsidR="002A7008">
        <w:t>prévues par la loi formation professionnelle et démocratie sociale</w:t>
      </w:r>
      <w:r w:rsidR="00EF4558">
        <w:t xml:space="preserve"> (cf. la proposition n°15 de la CPU, issue du colloque de novembre 2013 : « Les universités au cœur de la formation professionnelle et de l’apprentissage »)</w:t>
      </w:r>
      <w:r w:rsidR="002A7008">
        <w:t>.</w:t>
      </w:r>
      <w:r w:rsidR="00CA4964">
        <w:t xml:space="preserve"> Un</w:t>
      </w:r>
      <w:r>
        <w:t>e</w:t>
      </w:r>
      <w:r w:rsidR="00CA4964">
        <w:t xml:space="preserve"> politique et un positionnement sur chaque dossier présenté dans ces instances seront à construire et piloter dans la durée, </w:t>
      </w:r>
      <w:r w:rsidR="00CA4964" w:rsidRPr="00CC11B3">
        <w:t>e</w:t>
      </w:r>
      <w:r w:rsidRPr="00CC11B3">
        <w:t>n infor</w:t>
      </w:r>
      <w:r w:rsidR="00CA4964" w:rsidRPr="00CC11B3">
        <w:t>mant</w:t>
      </w:r>
      <w:r w:rsidR="00CA4964">
        <w:t xml:space="preserve"> l’ensem</w:t>
      </w:r>
      <w:r>
        <w:t>ble des établissements concerné</w:t>
      </w:r>
      <w:r w:rsidR="00CA4964">
        <w:t>s par chacune des décisions prises dans ces instances, d</w:t>
      </w:r>
      <w:r w:rsidR="007951D5">
        <w:t>ont le pouvoir est</w:t>
      </w:r>
      <w:r>
        <w:t xml:space="preserve"> renforcé</w:t>
      </w:r>
      <w:r w:rsidR="00CA4964">
        <w:t>.</w:t>
      </w:r>
    </w:p>
    <w:p w:rsidR="002A7008" w:rsidRDefault="002A7008" w:rsidP="00567EB9">
      <w:pPr>
        <w:jc w:val="both"/>
      </w:pPr>
      <w:r>
        <w:t>Une présence réelle, institutionnelle, est à organiser et piloter dans les instances académiques, car pour le moment, seuls les coordonnateurs académiques ont cette mission, mais ne re</w:t>
      </w:r>
      <w:r w:rsidR="00CA4964">
        <w:t>ç</w:t>
      </w:r>
      <w:r>
        <w:t>oivent aucun mandat des établissements et sont associés de manière trop variable et sans aucun pouvoir de décision aux activités de représentation dans la plupart des académies. C’est trop souvent le DAFPIC</w:t>
      </w:r>
      <w:r w:rsidR="000252A6">
        <w:t>/DAFCO</w:t>
      </w:r>
      <w:r>
        <w:t xml:space="preserve"> qui</w:t>
      </w:r>
      <w:r w:rsidR="000252A6">
        <w:t>,</w:t>
      </w:r>
      <w:r>
        <w:t xml:space="preserve"> pour le compte du recteur</w:t>
      </w:r>
      <w:r w:rsidR="000252A6">
        <w:t>,</w:t>
      </w:r>
      <w:r>
        <w:t xml:space="preserve"> parle pour l’ensemble des acteurs de l’enseignem</w:t>
      </w:r>
      <w:r w:rsidR="00CA4964">
        <w:t>e</w:t>
      </w:r>
      <w:r>
        <w:t>nt sco</w:t>
      </w:r>
      <w:r w:rsidR="00CA4964">
        <w:t>lai</w:t>
      </w:r>
      <w:r>
        <w:t>re et de l’enseignement supérieur.</w:t>
      </w:r>
    </w:p>
    <w:p w:rsidR="00CA4964" w:rsidRDefault="00CA4964" w:rsidP="00567EB9">
      <w:pPr>
        <w:jc w:val="both"/>
      </w:pPr>
      <w:r>
        <w:t>L’échelon régional, trop souvent déserté sur ce dossier, faute d’une animation inter-établ</w:t>
      </w:r>
      <w:r w:rsidR="006552E7">
        <w:t>i</w:t>
      </w:r>
      <w:r>
        <w:t>ssement</w:t>
      </w:r>
      <w:r w:rsidR="00CC11B3">
        <w:t>s</w:t>
      </w:r>
      <w:r>
        <w:t xml:space="preserve"> préparant et fixant quelques objectifs et réponses à apporter en commun, doit être investi. Nos</w:t>
      </w:r>
      <w:r w:rsidR="006552E7">
        <w:t xml:space="preserve"> </w:t>
      </w:r>
      <w:r w:rsidR="007951D5">
        <w:t>partenaires</w:t>
      </w:r>
      <w:r>
        <w:t>, décideurs et financeurs en région, souhaitent tous un regroupe</w:t>
      </w:r>
      <w:r w:rsidR="00CC11B3">
        <w:t>me</w:t>
      </w:r>
      <w:r>
        <w:t>nt de leurs interlocuteurs. La dispersion actuelle constatée est u</w:t>
      </w:r>
      <w:r w:rsidR="00CC11B3">
        <w:t>n frein à notre reconnaissance e</w:t>
      </w:r>
      <w:r>
        <w:t>n tant qu’</w:t>
      </w:r>
      <w:r w:rsidR="006552E7">
        <w:t>a</w:t>
      </w:r>
      <w:r>
        <w:t>cteur réactif lors de commandes de prestations et/ou de marchés de formation.</w:t>
      </w:r>
    </w:p>
    <w:p w:rsidR="00CA4964" w:rsidRDefault="00CA4964" w:rsidP="00567EB9">
      <w:pPr>
        <w:jc w:val="both"/>
      </w:pPr>
      <w:r>
        <w:t>Pour répondre à cette demande,</w:t>
      </w:r>
      <w:r w:rsidR="006552E7">
        <w:t xml:space="preserve"> d</w:t>
      </w:r>
      <w:r>
        <w:t>es coord</w:t>
      </w:r>
      <w:r w:rsidR="006552E7">
        <w:t>i</w:t>
      </w:r>
      <w:r>
        <w:t>nations entre ét</w:t>
      </w:r>
      <w:r w:rsidR="006552E7">
        <w:t>a</w:t>
      </w:r>
      <w:r>
        <w:t>blissem</w:t>
      </w:r>
      <w:r w:rsidR="006552E7">
        <w:t>e</w:t>
      </w:r>
      <w:r>
        <w:t>nts sont à encourager</w:t>
      </w:r>
      <w:r w:rsidR="00000385">
        <w:t>, animées par un véritable coordo</w:t>
      </w:r>
      <w:r w:rsidR="007951D5">
        <w:t>n</w:t>
      </w:r>
      <w:r w:rsidR="00000385">
        <w:t>nateur FTLV enseignement supérieur, nommé, comme actuellement, par le recteur sur proposition des chefs d’établissement. Ces coordo</w:t>
      </w:r>
      <w:r w:rsidR="007951D5">
        <w:t>n</w:t>
      </w:r>
      <w:r w:rsidR="00000385">
        <w:t>nateurs sont animés nationalement à partir d’une politique nationale.</w:t>
      </w:r>
      <w:r w:rsidR="00EF4558">
        <w:t xml:space="preserve"> Une relecture de l’arrêté du 25 novembre 1994 peut être la base d’une dynamisation de cette fonction sous utilisée aujourd’hui. Ce texte prévoit notamment que les coordonnateurs régionaux organisent, animent et promeuvent en lien direct avec les DAFPIC/DAFCO des actions concrètes de collaboration entre les deux réseaux. Ils peuvent également représenter le recteur d’académie auprès des instances régionales et départementales.</w:t>
      </w:r>
    </w:p>
    <w:p w:rsidR="00000385" w:rsidRDefault="00000385" w:rsidP="00567EB9">
      <w:pPr>
        <w:jc w:val="both"/>
      </w:pPr>
      <w:r>
        <w:t>Des coordinations régionales entre l’enseignement supérieur, uni</w:t>
      </w:r>
      <w:r w:rsidR="00CC11B3">
        <w:t>versités, Cnam et réseau des Gre</w:t>
      </w:r>
      <w:r>
        <w:t xml:space="preserve">ta sont également à systématiser. Quelques académies, sur initiative du Cnam national ont mis en place, à partir de conventions académiques, une instance ayant pour objectif </w:t>
      </w:r>
      <w:r w:rsidR="002A22E8">
        <w:t xml:space="preserve">de mutualiser le plus possible - </w:t>
      </w:r>
      <w:r>
        <w:t>dans le re</w:t>
      </w:r>
      <w:r w:rsidR="002A22E8">
        <w:t xml:space="preserve">spect des politiques de chacun - </w:t>
      </w:r>
      <w:r w:rsidRPr="002A22E8">
        <w:t>de</w:t>
      </w:r>
      <w:r w:rsidR="002A22E8" w:rsidRPr="002A22E8">
        <w:t>s</w:t>
      </w:r>
      <w:r w:rsidRPr="002A22E8">
        <w:t xml:space="preserve"> dossier</w:t>
      </w:r>
      <w:r w:rsidR="002A22E8" w:rsidRPr="002A22E8">
        <w:t>s</w:t>
      </w:r>
      <w:r w:rsidRPr="002A22E8">
        <w:t xml:space="preserve"> et </w:t>
      </w:r>
      <w:r w:rsidR="002A22E8" w:rsidRPr="002A22E8">
        <w:t xml:space="preserve">des </w:t>
      </w:r>
      <w:r w:rsidRPr="002A22E8">
        <w:t>projets,</w:t>
      </w:r>
      <w:r>
        <w:t xml:space="preserve"> tels le traitement des appels d’offres européens, régionaux et de Pôle Emploi. Ces conventions existent notammen</w:t>
      </w:r>
      <w:r w:rsidR="00CC11B3">
        <w:t>t dans les académies de Créteil</w:t>
      </w:r>
      <w:r>
        <w:t>, de Reims et d’Orléans.</w:t>
      </w:r>
    </w:p>
    <w:p w:rsidR="00000385" w:rsidRDefault="00000385" w:rsidP="00567EB9">
      <w:pPr>
        <w:jc w:val="both"/>
      </w:pPr>
    </w:p>
    <w:p w:rsidR="007951D5" w:rsidRDefault="007951D5" w:rsidP="00567EB9">
      <w:pPr>
        <w:jc w:val="both"/>
      </w:pPr>
    </w:p>
    <w:p w:rsidR="007951D5" w:rsidRDefault="007951D5" w:rsidP="00567EB9">
      <w:pPr>
        <w:jc w:val="both"/>
      </w:pPr>
    </w:p>
    <w:p w:rsidR="00000385" w:rsidRDefault="00000385" w:rsidP="00567EB9">
      <w:pPr>
        <w:jc w:val="both"/>
      </w:pPr>
      <w:r>
        <w:t>2-2 Les financements</w:t>
      </w:r>
    </w:p>
    <w:p w:rsidR="00D827F3" w:rsidRDefault="00D827F3" w:rsidP="00567EB9">
      <w:pPr>
        <w:jc w:val="both"/>
      </w:pPr>
      <w:r>
        <w:t>Un débat national est à mener pour mieux articuler et pérenniser la complémentarité entre subventions et ressources propres. L</w:t>
      </w:r>
      <w:r w:rsidR="000252A6">
        <w:t>a</w:t>
      </w:r>
      <w:r>
        <w:t xml:space="preserve"> notion de mission de service public peut être accomplie en harmonisant les deux canaux.</w:t>
      </w:r>
    </w:p>
    <w:p w:rsidR="00000385" w:rsidRDefault="00000385" w:rsidP="00567EB9">
      <w:pPr>
        <w:jc w:val="both"/>
      </w:pPr>
      <w:r>
        <w:t>Au-delà des possibilités de financem</w:t>
      </w:r>
      <w:r w:rsidR="00FF312B">
        <w:t>e</w:t>
      </w:r>
      <w:r>
        <w:t>nt par subvention nationale passant par l’intégration d’indicateurs spécifiques dans les PAP, l’effort à fournir concerne les financem</w:t>
      </w:r>
      <w:r w:rsidR="00FF312B">
        <w:t>e</w:t>
      </w:r>
      <w:r>
        <w:t>nts externes.</w:t>
      </w:r>
    </w:p>
    <w:p w:rsidR="00000385" w:rsidRDefault="00000385" w:rsidP="00567EB9">
      <w:pPr>
        <w:jc w:val="both"/>
      </w:pPr>
      <w:r>
        <w:t>Ceux-ci, nombreux</w:t>
      </w:r>
      <w:r w:rsidR="00CC11B3">
        <w:t xml:space="preserve">, </w:t>
      </w:r>
      <w:r>
        <w:t xml:space="preserve"> sont à mobiliser à partir de la construction d’offres adaptées au CPF, aux besoi</w:t>
      </w:r>
      <w:r w:rsidR="00CC11B3">
        <w:t>ns des branches et des régions.</w:t>
      </w:r>
      <w:r>
        <w:t xml:space="preserve"> L</w:t>
      </w:r>
      <w:r w:rsidR="007951D5">
        <w:t>es</w:t>
      </w:r>
      <w:r>
        <w:t xml:space="preserve"> méthodologie</w:t>
      </w:r>
      <w:r w:rsidR="007951D5">
        <w:t>s</w:t>
      </w:r>
      <w:r>
        <w:t xml:space="preserve"> de con</w:t>
      </w:r>
      <w:r w:rsidR="00FF312B">
        <w:t>s</w:t>
      </w:r>
      <w:r>
        <w:t>t</w:t>
      </w:r>
      <w:r w:rsidR="00CC11B3">
        <w:t>ruction de ces offres packagées</w:t>
      </w:r>
      <w:r>
        <w:t>, d’abord nationales, sont à déclinées par regroupe</w:t>
      </w:r>
      <w:r w:rsidR="00CC11B3">
        <w:t>me</w:t>
      </w:r>
      <w:r>
        <w:t>nt d’établissem</w:t>
      </w:r>
      <w:r w:rsidR="00FF312B">
        <w:t>e</w:t>
      </w:r>
      <w:r>
        <w:t>nts en misant sur les complémentarités.</w:t>
      </w:r>
    </w:p>
    <w:p w:rsidR="00000385" w:rsidRDefault="00FF312B" w:rsidP="00567EB9">
      <w:pPr>
        <w:jc w:val="both"/>
      </w:pPr>
      <w:r>
        <w:t xml:space="preserve">A </w:t>
      </w:r>
      <w:r w:rsidR="00241267">
        <w:t>ces offres spécifiques doivent être associés le plus en amont possibles, Pôle Emploi, les OPCA et le FPSPP. Cette approche facilitera les déclinaisons régionales.</w:t>
      </w:r>
    </w:p>
    <w:p w:rsidR="00CC11B3" w:rsidRDefault="00CC11B3" w:rsidP="00567EB9">
      <w:pPr>
        <w:jc w:val="both"/>
      </w:pPr>
    </w:p>
    <w:p w:rsidR="00241267" w:rsidRDefault="00241267" w:rsidP="00567EB9">
      <w:pPr>
        <w:jc w:val="both"/>
      </w:pPr>
      <w:r>
        <w:t>2-3 Les dispositifs à mobiliser</w:t>
      </w:r>
    </w:p>
    <w:p w:rsidR="00241267" w:rsidRDefault="00241267" w:rsidP="00567EB9">
      <w:pPr>
        <w:jc w:val="both"/>
      </w:pPr>
      <w:r>
        <w:t>D’abord la construction et/ou la sélection dans les offres existantes, de formations modulaires, aux UE capitalisables, correspondant à des secteurs et métiers en tension identifiés par les observatoires de branche.</w:t>
      </w:r>
    </w:p>
    <w:p w:rsidR="001C0943" w:rsidRDefault="001C0943" w:rsidP="00567EB9">
      <w:pPr>
        <w:jc w:val="both"/>
      </w:pPr>
      <w:r>
        <w:t>Ces formations donneront lieu à des certifications ou éléments de certification d’un diplôme ou d’un titre enregistré au RNCP,  calés sur le Compte Personnel de Formation (CPF</w:t>
      </w:r>
      <w:r w:rsidR="000252A6">
        <w:t>)</w:t>
      </w:r>
      <w:r>
        <w:t>.</w:t>
      </w:r>
    </w:p>
    <w:p w:rsidR="000252A6" w:rsidRDefault="00C617B9" w:rsidP="00567EB9">
      <w:pPr>
        <w:jc w:val="both"/>
      </w:pPr>
      <w:r>
        <w:t xml:space="preserve">La demande d’enregistrement de certifications d’établissement correspondant </w:t>
      </w:r>
      <w:r w:rsidR="00CC11B3">
        <w:t>aux critères de la CNCP et ayant</w:t>
      </w:r>
      <w:r>
        <w:t xml:space="preserve"> des résultats avérés en termes d’insertion et/ou de promotion doi</w:t>
      </w:r>
      <w:r w:rsidR="00CC11B3">
        <w:t>t être encouragée</w:t>
      </w:r>
      <w:r>
        <w:t xml:space="preserve"> en formant des responsable</w:t>
      </w:r>
      <w:r w:rsidR="00CC11B3">
        <w:t>s en ingénierie de certification</w:t>
      </w:r>
      <w:r>
        <w:t xml:space="preserve"> dans les établissements</w:t>
      </w:r>
      <w:r w:rsidR="00CC11B3">
        <w:t>.</w:t>
      </w:r>
      <w:r w:rsidR="000252A6">
        <w:t xml:space="preserve"> Le réseau des GRETA, fort de son expérience,  peut être mobilisé sur ce thème.</w:t>
      </w:r>
    </w:p>
    <w:p w:rsidR="00241267" w:rsidRDefault="00241267" w:rsidP="00567EB9">
      <w:pPr>
        <w:jc w:val="both"/>
      </w:pPr>
      <w:r>
        <w:t>Le packaging de ces offres passe par la réalisation de conventions nationales</w:t>
      </w:r>
      <w:r w:rsidR="000252A6">
        <w:t>, régionales</w:t>
      </w:r>
      <w:r>
        <w:t xml:space="preserve"> </w:t>
      </w:r>
      <w:r w:rsidR="001C0943">
        <w:t xml:space="preserve">et de constructions de formations </w:t>
      </w:r>
      <w:r>
        <w:t>avec</w:t>
      </w:r>
      <w:r w:rsidR="00CC11B3">
        <w:t xml:space="preserve"> des branches, des entreprises </w:t>
      </w:r>
      <w:r w:rsidR="001C0943">
        <w:t>(</w:t>
      </w:r>
      <w:r>
        <w:t xml:space="preserve">cf la licence banque construite avec la branche il y a </w:t>
      </w:r>
      <w:r w:rsidR="001C0943">
        <w:t>trois</w:t>
      </w:r>
      <w:r>
        <w:t xml:space="preserve"> ans</w:t>
      </w:r>
      <w:r w:rsidR="001C0943">
        <w:t>)</w:t>
      </w:r>
      <w:r>
        <w:t>.</w:t>
      </w:r>
    </w:p>
    <w:p w:rsidR="00FF312B" w:rsidRDefault="00FF312B" w:rsidP="00567EB9">
      <w:pPr>
        <w:jc w:val="both"/>
      </w:pPr>
      <w:r>
        <w:t>Pour mieux ré</w:t>
      </w:r>
      <w:r w:rsidR="00CC11B3">
        <w:t>pondre aux besoins de proximité</w:t>
      </w:r>
      <w:r>
        <w:t xml:space="preserve"> des terri</w:t>
      </w:r>
      <w:r w:rsidR="00C617B9">
        <w:t>t</w:t>
      </w:r>
      <w:r>
        <w:t>oires et des individus souvent isolés, il nous faut favoriser l’investissem</w:t>
      </w:r>
      <w:r w:rsidR="00C617B9">
        <w:t>e</w:t>
      </w:r>
      <w:r>
        <w:t xml:space="preserve">nt dans les TICE en </w:t>
      </w:r>
      <w:r w:rsidR="00C617B9">
        <w:t>poussant à transformer des formations souvent demandées mais encore proposées uniquement en présentiel.</w:t>
      </w:r>
    </w:p>
    <w:p w:rsidR="00241267" w:rsidRDefault="00CC11B3" w:rsidP="00567EB9">
      <w:pPr>
        <w:jc w:val="both"/>
      </w:pPr>
      <w:r>
        <w:t>La VAE</w:t>
      </w:r>
      <w:r w:rsidR="00241267">
        <w:t>, voie d’accès aux certifications professionnelles enregistrées au RNCP, est un dispositif qui mise sur la reconnaissance des acquis de l’expérience,</w:t>
      </w:r>
      <w:r w:rsidR="00FF312B">
        <w:t xml:space="preserve"> </w:t>
      </w:r>
      <w:r>
        <w:t>professionnels</w:t>
      </w:r>
      <w:r w:rsidR="00241267">
        <w:t>, associatifs et per</w:t>
      </w:r>
      <w:r w:rsidR="00FF312B">
        <w:t>s</w:t>
      </w:r>
      <w:r w:rsidR="00241267">
        <w:t>onnels.</w:t>
      </w:r>
    </w:p>
    <w:p w:rsidR="00241267" w:rsidRDefault="00241267" w:rsidP="00567EB9">
      <w:pPr>
        <w:jc w:val="both"/>
      </w:pPr>
      <w:r>
        <w:t xml:space="preserve">Sans créer des illusions qui pourraient décevoir </w:t>
      </w:r>
      <w:r w:rsidR="00CC11B3">
        <w:t>rapidement, cette voie d’accès -</w:t>
      </w:r>
      <w:r>
        <w:t>qui s’essou</w:t>
      </w:r>
      <w:r w:rsidR="00FF312B">
        <w:t>f</w:t>
      </w:r>
      <w:r>
        <w:t>fle actuell</w:t>
      </w:r>
      <w:r w:rsidR="00FF312B">
        <w:t>e</w:t>
      </w:r>
      <w:r>
        <w:t>ment</w:t>
      </w:r>
      <w:r w:rsidR="00CC11B3">
        <w:t xml:space="preserve"> - </w:t>
      </w:r>
      <w:r>
        <w:t xml:space="preserve">peut répondre utilement à un réel besoin. De nombreux étudiants décrocheurs peuvent </w:t>
      </w:r>
      <w:r w:rsidR="00CC11B3">
        <w:t xml:space="preserve">ainsi </w:t>
      </w:r>
      <w:r>
        <w:t>obtenir tout ou partie d’une certification de l’enseignem</w:t>
      </w:r>
      <w:r w:rsidR="00FF312B">
        <w:t>e</w:t>
      </w:r>
      <w:r>
        <w:t>nt supérieur.</w:t>
      </w:r>
    </w:p>
    <w:p w:rsidR="00241267" w:rsidRDefault="00241267" w:rsidP="00567EB9">
      <w:pPr>
        <w:jc w:val="both"/>
      </w:pPr>
      <w:r>
        <w:t>Les expériences pouvant être acquises doivent permettre de présenter des dossiers à des BTS et à des licences professionnelles avec de réelles chances de réussite.</w:t>
      </w:r>
    </w:p>
    <w:p w:rsidR="00241267" w:rsidRDefault="00241267" w:rsidP="00567EB9">
      <w:pPr>
        <w:jc w:val="both"/>
      </w:pPr>
      <w:r>
        <w:t>L’objectif doit êt</w:t>
      </w:r>
      <w:r w:rsidR="00FF312B">
        <w:t>r</w:t>
      </w:r>
      <w:r>
        <w:t>e d’obtenir une certification en totalité, car beaucoup d’abandons sont dus au découragement des candidats n’ayant obtenu qu’une partie des élém</w:t>
      </w:r>
      <w:r w:rsidR="00FF312B">
        <w:t>e</w:t>
      </w:r>
      <w:r>
        <w:t>nts constitutifs d’une certificatio</w:t>
      </w:r>
      <w:r w:rsidR="00FF312B">
        <w:t>n</w:t>
      </w:r>
      <w:r>
        <w:t>. Il faudra néanmoins prévoir le tr</w:t>
      </w:r>
      <w:r w:rsidR="00FF312B">
        <w:t>ai</w:t>
      </w:r>
      <w:r>
        <w:t>tem</w:t>
      </w:r>
      <w:r w:rsidR="00FF312B">
        <w:t>en</w:t>
      </w:r>
      <w:r>
        <w:t>t, les financ</w:t>
      </w:r>
      <w:r w:rsidR="00FF312B">
        <w:t>e</w:t>
      </w:r>
      <w:r>
        <w:t>ments et l’accompagnement pour celles et ceux qui seront dans ce cas.</w:t>
      </w:r>
    </w:p>
    <w:p w:rsidR="00241267" w:rsidRDefault="00117323" w:rsidP="00567EB9">
      <w:pPr>
        <w:jc w:val="both"/>
      </w:pPr>
      <w:r>
        <w:t>La réussite significative d’une relance de la VAE passe par un parten</w:t>
      </w:r>
      <w:r w:rsidR="00FF312B">
        <w:t>aria</w:t>
      </w:r>
      <w:r>
        <w:t>t entre les établissem</w:t>
      </w:r>
      <w:r w:rsidR="00FF312B">
        <w:t>e</w:t>
      </w:r>
      <w:r>
        <w:t>nts, les partenaires sociaux (patronaux en particulier, qui craignent toujours une demande de reconnaissance systématique en terme de salaire de la part de salariés ayan</w:t>
      </w:r>
      <w:r w:rsidR="00FF312B">
        <w:t>t</w:t>
      </w:r>
      <w:r>
        <w:t xml:space="preserve"> obtenu une certification par la VAE</w:t>
      </w:r>
      <w:r w:rsidR="00CC11B3">
        <w:t>)</w:t>
      </w:r>
      <w:r>
        <w:t>.</w:t>
      </w:r>
    </w:p>
    <w:p w:rsidR="002A7008" w:rsidRDefault="00117323" w:rsidP="00567EB9">
      <w:pPr>
        <w:jc w:val="both"/>
      </w:pPr>
      <w:r>
        <w:t>Une vérit</w:t>
      </w:r>
      <w:r w:rsidR="00FF312B">
        <w:t>a</w:t>
      </w:r>
      <w:r>
        <w:t>ble v</w:t>
      </w:r>
      <w:r w:rsidR="00CC11B3">
        <w:t>olonté de développement des VAE</w:t>
      </w:r>
      <w:r>
        <w:t xml:space="preserve"> dites collectives passe par ce rapprochement. Des listes de certifications cibles favorisant l’accès à des em</w:t>
      </w:r>
      <w:r w:rsidR="00FF312B">
        <w:t>p</w:t>
      </w:r>
      <w:r>
        <w:t>lois identifiés aideraient à ce processus.</w:t>
      </w:r>
    </w:p>
    <w:p w:rsidR="00117323" w:rsidRDefault="00117323" w:rsidP="00567EB9">
      <w:pPr>
        <w:jc w:val="both"/>
      </w:pPr>
      <w:r>
        <w:t>Les différents conseils nationaux et régionaux emploi et formation tout</w:t>
      </w:r>
      <w:r w:rsidR="00CC11B3">
        <w:t xml:space="preserve"> au long de la vie</w:t>
      </w:r>
      <w:r>
        <w:t xml:space="preserve"> seront à impliquer.</w:t>
      </w:r>
    </w:p>
    <w:p w:rsidR="00C617B9" w:rsidRDefault="00C617B9" w:rsidP="00567EB9">
      <w:pPr>
        <w:jc w:val="both"/>
      </w:pPr>
      <w:r>
        <w:t>Pour que ces dispositifs et actions s’intègrent durablement dans les établissements nous ne pourrons faire l’impasse d’une réflexion sur la reconnaissance des différentes activités mise</w:t>
      </w:r>
      <w:r w:rsidR="002A22E8">
        <w:t>s</w:t>
      </w:r>
      <w:r>
        <w:t xml:space="preserve"> en œuvre par les enseignants chercheurs en ce domaine. La FTLV, comme ce n’est pas le cas pour la FC, doit être valorisée en matière de prise en compte dans la carrière des enseignants chercheurs et sans doute en matière d’incitation financière. Aujourd’hui nombre d’enseignants chercheurs préfèrent intervenir en FC directement dans le secteur privé, car celui-ci est bien plus rémunérateur que le secteur public.</w:t>
      </w:r>
    </w:p>
    <w:p w:rsidR="00117323" w:rsidRDefault="002A22E8" w:rsidP="002A22E8">
      <w:pPr>
        <w:ind w:firstLine="708"/>
        <w:jc w:val="both"/>
      </w:pPr>
      <w:r>
        <w:t xml:space="preserve">3- </w:t>
      </w:r>
      <w:r w:rsidR="00117323" w:rsidRPr="002A22E8">
        <w:rPr>
          <w:b/>
        </w:rPr>
        <w:t>Le pilotage</w:t>
      </w:r>
      <w:r w:rsidR="00FF312B" w:rsidRPr="002A22E8">
        <w:rPr>
          <w:b/>
        </w:rPr>
        <w:t xml:space="preserve"> du plan de mobilisation</w:t>
      </w:r>
    </w:p>
    <w:p w:rsidR="002A7008" w:rsidRDefault="00117323" w:rsidP="00567EB9">
      <w:pPr>
        <w:jc w:val="both"/>
      </w:pPr>
      <w:r>
        <w:t>Les mesures proposées impliquent un pilotage national politique et une animation/accomp</w:t>
      </w:r>
      <w:r w:rsidR="00FF312B">
        <w:t>a</w:t>
      </w:r>
      <w:r>
        <w:t>gnem</w:t>
      </w:r>
      <w:r w:rsidR="00FF312B">
        <w:t>e</w:t>
      </w:r>
      <w:r w:rsidR="001C0943">
        <w:t>nt des acteurs, dans le respect de l’autonomie des établissements et des enjeux de</w:t>
      </w:r>
      <w:r w:rsidR="007951D5">
        <w:t xml:space="preserve"> chacun</w:t>
      </w:r>
      <w:r w:rsidR="001C0943">
        <w:t>.</w:t>
      </w:r>
      <w:r>
        <w:t xml:space="preserve"> L’expérience prouve que la mobilisation, la mise en relation d’organismes indépendants ne sont pas chose</w:t>
      </w:r>
      <w:r w:rsidR="007951D5">
        <w:t>s</w:t>
      </w:r>
      <w:r>
        <w:t xml:space="preserve"> naturelles.</w:t>
      </w:r>
    </w:p>
    <w:p w:rsidR="00FF312B" w:rsidRDefault="00FF312B" w:rsidP="00567EB9">
      <w:pPr>
        <w:jc w:val="both"/>
      </w:pPr>
      <w:r>
        <w:t>Une condition de</w:t>
      </w:r>
      <w:r w:rsidR="002A22E8">
        <w:t xml:space="preserve"> réussite de ce pilotage passe par la connaissance bien sûr</w:t>
      </w:r>
      <w:r>
        <w:t xml:space="preserve"> de l’enseignement supérieur mais aussi de celui du secondaire et du monde de l’emploi, des systèmes d’organisation, de gouvernance et de financement de la formation professionnelle.</w:t>
      </w:r>
    </w:p>
    <w:p w:rsidR="00804DAA" w:rsidRDefault="00804DAA" w:rsidP="00567EB9">
      <w:pPr>
        <w:jc w:val="both"/>
      </w:pPr>
      <w:r>
        <w:t>Le pilotage doit, pour maximiser son efficacité, partir du niveau interministériel, appuyé sur le niveau ministériel (cf à titre d’exemple la mise en place du Comité inter ministériel de développement de la VAE mis en place en 2006 par le Premier Ministre de l’époque, réunissant l’ensemble des ministères certificateurs).</w:t>
      </w:r>
    </w:p>
    <w:p w:rsidR="00117323" w:rsidRDefault="00117323" w:rsidP="00567EB9">
      <w:pPr>
        <w:jc w:val="both"/>
      </w:pPr>
      <w:r>
        <w:t xml:space="preserve">Les enjeux sont importants pour l’enseignement supérieur, souvent </w:t>
      </w:r>
      <w:r w:rsidR="002A22E8">
        <w:t xml:space="preserve">considéré comme </w:t>
      </w:r>
      <w:r>
        <w:t>à l’écart des questions de société.</w:t>
      </w:r>
      <w:r w:rsidR="001C0943">
        <w:t xml:space="preserve"> Sa présence est à construire et/ou </w:t>
      </w:r>
      <w:r w:rsidR="007951D5">
        <w:t xml:space="preserve">à </w:t>
      </w:r>
      <w:r w:rsidR="001C0943">
        <w:t>développer dans les différents lieux de décision, aussi bien politiques que financiers.</w:t>
      </w:r>
      <w:r>
        <w:t xml:space="preserve"> </w:t>
      </w:r>
      <w:r w:rsidR="001C0943">
        <w:t xml:space="preserve">L’échelon régional et bientôt infra régional </w:t>
      </w:r>
      <w:r w:rsidR="00804DAA">
        <w:t>est le lieu essentiel d’une meilleure prise en compte des possibilités de réponses de nos établissements aux besoins des territoires, organisations et individus. L’enseignement supérieur</w:t>
      </w:r>
      <w:r>
        <w:t xml:space="preserve"> doit et peut apporter une contribution non négligeable et répondre dans le même temps aux objectifs d’élévation des niveaux des qualifications ainsi qu’aux niveaux d’étude de nos concit</w:t>
      </w:r>
      <w:r w:rsidR="00FF312B">
        <w:t>o</w:t>
      </w:r>
      <w:r>
        <w:t>yens.</w:t>
      </w:r>
    </w:p>
    <w:p w:rsidR="00804DAA" w:rsidRDefault="00804DAA" w:rsidP="00567EB9">
      <w:pPr>
        <w:jc w:val="both"/>
      </w:pPr>
    </w:p>
    <w:p w:rsidR="00117323" w:rsidRDefault="00117323" w:rsidP="00567EB9">
      <w:pPr>
        <w:jc w:val="both"/>
      </w:pPr>
    </w:p>
    <w:p w:rsidR="000C2C0C" w:rsidRDefault="000C2C0C" w:rsidP="00567EB9">
      <w:pPr>
        <w:jc w:val="both"/>
      </w:pPr>
      <w:r>
        <w:t>.</w:t>
      </w:r>
    </w:p>
    <w:p w:rsidR="000C2C0C" w:rsidRDefault="000C2C0C" w:rsidP="00567EB9">
      <w:pPr>
        <w:jc w:val="both"/>
      </w:pPr>
    </w:p>
    <w:p w:rsidR="000C2C0C" w:rsidRDefault="000C2C0C" w:rsidP="00567EB9">
      <w:pPr>
        <w:jc w:val="both"/>
      </w:pPr>
    </w:p>
    <w:p w:rsidR="009D4E17" w:rsidRDefault="009D4E17" w:rsidP="00567EB9">
      <w:pPr>
        <w:jc w:val="both"/>
      </w:pPr>
    </w:p>
    <w:p w:rsidR="009D4E17" w:rsidRDefault="009D4E17" w:rsidP="00567EB9">
      <w:pPr>
        <w:jc w:val="both"/>
      </w:pPr>
    </w:p>
    <w:p w:rsidR="009D4E17" w:rsidRDefault="009D4E17" w:rsidP="00567EB9">
      <w:pPr>
        <w:jc w:val="both"/>
      </w:pPr>
    </w:p>
    <w:p w:rsidR="009D4E17" w:rsidRDefault="009D4E17" w:rsidP="00567EB9">
      <w:pPr>
        <w:jc w:val="both"/>
      </w:pPr>
    </w:p>
    <w:sectPr w:rsidR="009D4E17" w:rsidSect="00B16A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86" w:rsidRDefault="001E5E86" w:rsidP="00FF312B">
      <w:pPr>
        <w:spacing w:after="0" w:line="240" w:lineRule="auto"/>
      </w:pPr>
      <w:r>
        <w:separator/>
      </w:r>
    </w:p>
  </w:endnote>
  <w:endnote w:type="continuationSeparator" w:id="0">
    <w:p w:rsidR="001E5E86" w:rsidRDefault="001E5E86" w:rsidP="00FF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556"/>
      <w:docPartObj>
        <w:docPartGallery w:val="Page Numbers (Bottom of Page)"/>
        <w:docPartUnique/>
      </w:docPartObj>
    </w:sdtPr>
    <w:sdtEndPr/>
    <w:sdtContent>
      <w:p w:rsidR="001C0943" w:rsidRDefault="001E5E86">
        <w:pPr>
          <w:pStyle w:val="Pieddepage"/>
          <w:jc w:val="center"/>
        </w:pPr>
        <w:r>
          <w:fldChar w:fldCharType="begin"/>
        </w:r>
        <w:r>
          <w:instrText xml:space="preserve"> PAGE   \* MERGEFORMAT </w:instrText>
        </w:r>
        <w:r>
          <w:fldChar w:fldCharType="separate"/>
        </w:r>
        <w:r w:rsidR="00590738">
          <w:rPr>
            <w:noProof/>
          </w:rPr>
          <w:t>1</w:t>
        </w:r>
        <w:r>
          <w:rPr>
            <w:noProof/>
          </w:rPr>
          <w:fldChar w:fldCharType="end"/>
        </w:r>
      </w:p>
    </w:sdtContent>
  </w:sdt>
  <w:p w:rsidR="001C0943" w:rsidRDefault="001C09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86" w:rsidRDefault="001E5E86" w:rsidP="00FF312B">
      <w:pPr>
        <w:spacing w:after="0" w:line="240" w:lineRule="auto"/>
      </w:pPr>
      <w:r>
        <w:separator/>
      </w:r>
    </w:p>
  </w:footnote>
  <w:footnote w:type="continuationSeparator" w:id="0">
    <w:p w:rsidR="001E5E86" w:rsidRDefault="001E5E86" w:rsidP="00FF3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75D2"/>
    <w:multiLevelType w:val="hybridMultilevel"/>
    <w:tmpl w:val="B2CCE5E6"/>
    <w:lvl w:ilvl="0" w:tplc="A44A23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32912C8"/>
    <w:multiLevelType w:val="hybridMultilevel"/>
    <w:tmpl w:val="AD2AC942"/>
    <w:lvl w:ilvl="0" w:tplc="8B84E0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47"/>
    <w:rsid w:val="00000385"/>
    <w:rsid w:val="000252A6"/>
    <w:rsid w:val="000C2C0C"/>
    <w:rsid w:val="000D08E2"/>
    <w:rsid w:val="00117323"/>
    <w:rsid w:val="001665C3"/>
    <w:rsid w:val="001A21AE"/>
    <w:rsid w:val="001C0943"/>
    <w:rsid w:val="001D6A4A"/>
    <w:rsid w:val="001E5E86"/>
    <w:rsid w:val="00241267"/>
    <w:rsid w:val="00250D97"/>
    <w:rsid w:val="00255F13"/>
    <w:rsid w:val="00262C04"/>
    <w:rsid w:val="002A22E8"/>
    <w:rsid w:val="002A7008"/>
    <w:rsid w:val="002B62CE"/>
    <w:rsid w:val="002C657E"/>
    <w:rsid w:val="002E14EB"/>
    <w:rsid w:val="003337C0"/>
    <w:rsid w:val="003750B2"/>
    <w:rsid w:val="00393228"/>
    <w:rsid w:val="00394B0E"/>
    <w:rsid w:val="003C1DEB"/>
    <w:rsid w:val="003D2351"/>
    <w:rsid w:val="00470B47"/>
    <w:rsid w:val="0049310F"/>
    <w:rsid w:val="005106CF"/>
    <w:rsid w:val="00535840"/>
    <w:rsid w:val="005366F6"/>
    <w:rsid w:val="00567EB9"/>
    <w:rsid w:val="00577D6F"/>
    <w:rsid w:val="00590738"/>
    <w:rsid w:val="005919E5"/>
    <w:rsid w:val="00624761"/>
    <w:rsid w:val="006552E7"/>
    <w:rsid w:val="0069628C"/>
    <w:rsid w:val="006B7C08"/>
    <w:rsid w:val="006C7AAA"/>
    <w:rsid w:val="006F4571"/>
    <w:rsid w:val="00714D9C"/>
    <w:rsid w:val="00755425"/>
    <w:rsid w:val="007646E3"/>
    <w:rsid w:val="007951D5"/>
    <w:rsid w:val="007B1725"/>
    <w:rsid w:val="00804DAA"/>
    <w:rsid w:val="008749E4"/>
    <w:rsid w:val="00997755"/>
    <w:rsid w:val="009D4231"/>
    <w:rsid w:val="009D4E17"/>
    <w:rsid w:val="009D5311"/>
    <w:rsid w:val="00A306D3"/>
    <w:rsid w:val="00AF3885"/>
    <w:rsid w:val="00B16A96"/>
    <w:rsid w:val="00BA61D2"/>
    <w:rsid w:val="00C24AB8"/>
    <w:rsid w:val="00C617B9"/>
    <w:rsid w:val="00C855C6"/>
    <w:rsid w:val="00C90434"/>
    <w:rsid w:val="00C91312"/>
    <w:rsid w:val="00C93FDE"/>
    <w:rsid w:val="00CA4964"/>
    <w:rsid w:val="00CC11B3"/>
    <w:rsid w:val="00CD7CF8"/>
    <w:rsid w:val="00CE6280"/>
    <w:rsid w:val="00D1547D"/>
    <w:rsid w:val="00D4066D"/>
    <w:rsid w:val="00D827F3"/>
    <w:rsid w:val="00E336FA"/>
    <w:rsid w:val="00E36A5F"/>
    <w:rsid w:val="00E478A3"/>
    <w:rsid w:val="00E6308C"/>
    <w:rsid w:val="00E81A2C"/>
    <w:rsid w:val="00E94441"/>
    <w:rsid w:val="00EF4558"/>
    <w:rsid w:val="00F60D6D"/>
    <w:rsid w:val="00F8277F"/>
    <w:rsid w:val="00FF1B26"/>
    <w:rsid w:val="00FF3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3FDE"/>
    <w:pPr>
      <w:ind w:left="720"/>
      <w:contextualSpacing/>
    </w:pPr>
  </w:style>
  <w:style w:type="paragraph" w:styleId="En-tte">
    <w:name w:val="header"/>
    <w:basedOn w:val="Normal"/>
    <w:link w:val="En-tteCar"/>
    <w:uiPriority w:val="99"/>
    <w:semiHidden/>
    <w:unhideWhenUsed/>
    <w:rsid w:val="00FF31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F312B"/>
  </w:style>
  <w:style w:type="paragraph" w:styleId="Pieddepage">
    <w:name w:val="footer"/>
    <w:basedOn w:val="Normal"/>
    <w:link w:val="PieddepageCar"/>
    <w:uiPriority w:val="99"/>
    <w:unhideWhenUsed/>
    <w:rsid w:val="00FF31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3FDE"/>
    <w:pPr>
      <w:ind w:left="720"/>
      <w:contextualSpacing/>
    </w:pPr>
  </w:style>
  <w:style w:type="paragraph" w:styleId="En-tte">
    <w:name w:val="header"/>
    <w:basedOn w:val="Normal"/>
    <w:link w:val="En-tteCar"/>
    <w:uiPriority w:val="99"/>
    <w:semiHidden/>
    <w:unhideWhenUsed/>
    <w:rsid w:val="00FF31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F312B"/>
  </w:style>
  <w:style w:type="paragraph" w:styleId="Pieddepage">
    <w:name w:val="footer"/>
    <w:basedOn w:val="Normal"/>
    <w:link w:val="PieddepageCar"/>
    <w:uiPriority w:val="99"/>
    <w:unhideWhenUsed/>
    <w:rsid w:val="00FF31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2181</Words>
  <Characters>11996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David GARCIA</cp:lastModifiedBy>
  <cp:revision>2</cp:revision>
  <cp:lastPrinted>2014-01-26T16:49:00Z</cp:lastPrinted>
  <dcterms:created xsi:type="dcterms:W3CDTF">2016-06-01T16:46:00Z</dcterms:created>
  <dcterms:modified xsi:type="dcterms:W3CDTF">2016-06-01T16:46:00Z</dcterms:modified>
</cp:coreProperties>
</file>